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B7" w:rsidRDefault="00B75F92" w:rsidP="005269D3">
      <w:pPr>
        <w:jc w:val="center"/>
        <w:rPr>
          <w:rFonts w:ascii="Times New Roman" w:eastAsia="+mj-ea" w:hAnsi="Times New Roman" w:cs="Times New Roman"/>
          <w:bCs/>
          <w:color w:val="000000" w:themeColor="text1"/>
          <w:kern w:val="24"/>
          <w:sz w:val="32"/>
          <w:szCs w:val="32"/>
        </w:rPr>
      </w:pPr>
      <w:r w:rsidRPr="00B75F92">
        <w:rPr>
          <w:rFonts w:ascii="Times New Roman" w:eastAsia="+mj-ea" w:hAnsi="Times New Roman" w:cs="Times New Roman"/>
          <w:bCs/>
          <w:color w:val="000000" w:themeColor="text1"/>
          <w:kern w:val="24"/>
          <w:sz w:val="32"/>
          <w:szCs w:val="32"/>
        </w:rPr>
        <w:t>Основные положения учетной политики</w:t>
      </w:r>
      <w:r>
        <w:rPr>
          <w:rFonts w:ascii="Times New Roman" w:eastAsia="+mj-ea" w:hAnsi="Times New Roman" w:cs="Times New Roman"/>
          <w:bCs/>
          <w:color w:val="000000" w:themeColor="text1"/>
          <w:kern w:val="24"/>
          <w:sz w:val="32"/>
          <w:szCs w:val="32"/>
        </w:rPr>
        <w:t xml:space="preserve"> Финансового управления администрации г. Азова</w:t>
      </w:r>
    </w:p>
    <w:p w:rsidR="005269D3" w:rsidRDefault="005269D3" w:rsidP="005269D3">
      <w:pPr>
        <w:jc w:val="center"/>
        <w:rPr>
          <w:rFonts w:ascii="Times New Roman" w:eastAsia="+mj-ea" w:hAnsi="Times New Roman" w:cs="Times New Roman"/>
          <w:bCs/>
          <w:color w:val="000000" w:themeColor="text1"/>
          <w:kern w:val="24"/>
          <w:sz w:val="32"/>
          <w:szCs w:val="32"/>
        </w:rPr>
      </w:pPr>
    </w:p>
    <w:tbl>
      <w:tblPr>
        <w:tblStyle w:val="a3"/>
        <w:tblW w:w="14732" w:type="dxa"/>
        <w:tblInd w:w="-142" w:type="dxa"/>
        <w:tblLook w:val="04A0" w:firstRow="1" w:lastRow="0" w:firstColumn="1" w:lastColumn="0" w:noHBand="0" w:noVBand="1"/>
      </w:tblPr>
      <w:tblGrid>
        <w:gridCol w:w="2977"/>
        <w:gridCol w:w="4731"/>
        <w:gridCol w:w="3799"/>
        <w:gridCol w:w="3225"/>
      </w:tblGrid>
      <w:tr w:rsidR="00D12B2D" w:rsidTr="002501AF">
        <w:trPr>
          <w:trHeight w:val="709"/>
        </w:trPr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B2D" w:rsidRPr="005269D3" w:rsidRDefault="00D12B2D" w:rsidP="000920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5269D3">
              <w:rPr>
                <w:color w:val="000000" w:themeColor="text1"/>
                <w:kern w:val="24"/>
              </w:rPr>
              <w:t>Наименование</w:t>
            </w:r>
          </w:p>
          <w:p w:rsidR="00D12B2D" w:rsidRPr="005269D3" w:rsidRDefault="00D12B2D" w:rsidP="000920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  <w:highlight w:val="yellow"/>
              </w:rPr>
            </w:pPr>
            <w:r w:rsidRPr="005269D3">
              <w:rPr>
                <w:color w:val="000000" w:themeColor="text1"/>
                <w:kern w:val="24"/>
              </w:rPr>
              <w:t>объекта учета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B2D" w:rsidRPr="000920F1" w:rsidRDefault="00D12B2D" w:rsidP="000920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0920F1">
              <w:rPr>
                <w:color w:val="000000" w:themeColor="text1"/>
                <w:kern w:val="24"/>
              </w:rPr>
              <w:t>Код счета</w:t>
            </w:r>
          </w:p>
          <w:p w:rsidR="00D12B2D" w:rsidRPr="000920F1" w:rsidRDefault="00D12B2D" w:rsidP="000920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0920F1">
              <w:rPr>
                <w:color w:val="000000" w:themeColor="text1"/>
                <w:kern w:val="24"/>
              </w:rPr>
              <w:t>бухгалтерского  учета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B2D" w:rsidRPr="000920F1" w:rsidRDefault="00D12B2D" w:rsidP="000920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0920F1">
              <w:rPr>
                <w:color w:val="000000" w:themeColor="text1"/>
                <w:kern w:val="24"/>
              </w:rPr>
              <w:t>Характеристика метода оценки и</w:t>
            </w:r>
          </w:p>
          <w:p w:rsidR="00D12B2D" w:rsidRPr="000920F1" w:rsidRDefault="00D12B2D" w:rsidP="000920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0920F1">
              <w:rPr>
                <w:color w:val="000000" w:themeColor="text1"/>
                <w:kern w:val="24"/>
              </w:rPr>
              <w:t>момент отражения операции в учете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B2D" w:rsidRPr="000920F1" w:rsidRDefault="002501AF" w:rsidP="000920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Правовое обоснование</w:t>
            </w:r>
          </w:p>
        </w:tc>
      </w:tr>
      <w:tr w:rsidR="00D12B2D" w:rsidTr="002501AF">
        <w:tc>
          <w:tcPr>
            <w:tcW w:w="2977" w:type="dxa"/>
          </w:tcPr>
          <w:p w:rsidR="00D12B2D" w:rsidRPr="005269D3" w:rsidRDefault="00D1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4731" w:type="dxa"/>
          </w:tcPr>
          <w:p w:rsidR="00D12B2D" w:rsidRPr="005269D3" w:rsidRDefault="00485E04" w:rsidP="00121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2B2D" w:rsidRPr="00526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104 00 000</w:t>
            </w:r>
          </w:p>
        </w:tc>
        <w:tc>
          <w:tcPr>
            <w:tcW w:w="3799" w:type="dxa"/>
          </w:tcPr>
          <w:p w:rsidR="00D12B2D" w:rsidRPr="005269D3" w:rsidRDefault="00E05B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Начисление амортизации основных средств осуществляется линейным методом</w:t>
            </w:r>
            <w:r w:rsidR="00513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25" w:type="dxa"/>
          </w:tcPr>
          <w:p w:rsidR="00D12B2D" w:rsidRPr="005269D3" w:rsidRDefault="001816A8" w:rsidP="00181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E05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риказ Мин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истерства </w:t>
            </w:r>
            <w:r w:rsidR="00E05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нсов</w:t>
            </w:r>
            <w:r w:rsidR="00E05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йской Федерации</w:t>
            </w:r>
            <w:r w:rsidR="00E05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31.12.2016 № 257н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4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B147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7ED">
              <w:rPr>
                <w:rFonts w:ascii="Times New Roman" w:hAnsi="Times New Roman" w:cs="Times New Roman"/>
                <w:sz w:val="28"/>
                <w:szCs w:val="28"/>
              </w:rPr>
              <w:t>б утверждении федерального стандарта бухгалтерского учета</w:t>
            </w:r>
            <w:r w:rsidRPr="00B14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7ED">
              <w:rPr>
                <w:rFonts w:ascii="Times New Roman" w:hAnsi="Times New Roman" w:cs="Times New Roman"/>
                <w:sz w:val="28"/>
                <w:szCs w:val="28"/>
              </w:rPr>
              <w:t>для организаций государственного сектора «Основные средства»</w:t>
            </w:r>
            <w:r w:rsidRPr="00B147E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12B2D" w:rsidTr="002501AF">
        <w:tc>
          <w:tcPr>
            <w:tcW w:w="2977" w:type="dxa"/>
          </w:tcPr>
          <w:p w:rsidR="00D12B2D" w:rsidRPr="00513959" w:rsidRDefault="00D1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Материальные запасы</w:t>
            </w:r>
          </w:p>
        </w:tc>
        <w:tc>
          <w:tcPr>
            <w:tcW w:w="4731" w:type="dxa"/>
          </w:tcPr>
          <w:p w:rsidR="00D12B2D" w:rsidRPr="00513959" w:rsidRDefault="00485E04" w:rsidP="001A7DAE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2B2D" w:rsidRPr="00A82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105 3</w:t>
            </w:r>
            <w:r w:rsidR="001A7DAE" w:rsidRPr="00A82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12B2D" w:rsidRPr="00A82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000 </w:t>
            </w:r>
          </w:p>
        </w:tc>
        <w:tc>
          <w:tcPr>
            <w:tcW w:w="3799" w:type="dxa"/>
          </w:tcPr>
          <w:p w:rsidR="00D12B2D" w:rsidRPr="00513959" w:rsidRDefault="00D1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95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Списание материальных запасов производится по фактической стоимости  каждой единицы.</w:t>
            </w:r>
            <w:bookmarkStart w:id="0" w:name="_GoBack"/>
            <w:bookmarkEnd w:id="0"/>
          </w:p>
        </w:tc>
        <w:tc>
          <w:tcPr>
            <w:tcW w:w="3225" w:type="dxa"/>
          </w:tcPr>
          <w:p w:rsidR="002501AF" w:rsidRPr="00B147ED" w:rsidRDefault="001816A8" w:rsidP="00293923">
            <w:pP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14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Министерства финансов Российской Федерации </w:t>
            </w:r>
            <w:r w:rsidR="00513959" w:rsidRPr="00B14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01.12.2010 № 157н</w:t>
            </w:r>
            <w:r w:rsidR="00513959" w:rsidRPr="00B147ED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B147ED" w:rsidRPr="0029392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 w:rsidR="00293923" w:rsidRPr="0029392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="00293923"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="00640694" w:rsidRPr="00B147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057E" w:rsidTr="00942797">
        <w:tc>
          <w:tcPr>
            <w:tcW w:w="14732" w:type="dxa"/>
            <w:gridSpan w:val="4"/>
          </w:tcPr>
          <w:p w:rsidR="0065057E" w:rsidRPr="005269D3" w:rsidRDefault="0065057E" w:rsidP="0065057E">
            <w:pPr>
              <w:tabs>
                <w:tab w:val="left" w:pos="609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Определение принципа существенности</w:t>
            </w:r>
          </w:p>
        </w:tc>
      </w:tr>
      <w:tr w:rsidR="00061BBA" w:rsidTr="002501AF">
        <w:tc>
          <w:tcPr>
            <w:tcW w:w="2977" w:type="dxa"/>
          </w:tcPr>
          <w:p w:rsidR="00061BBA" w:rsidRPr="005269D3" w:rsidRDefault="006505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средства</w:t>
            </w:r>
          </w:p>
        </w:tc>
        <w:tc>
          <w:tcPr>
            <w:tcW w:w="4731" w:type="dxa"/>
          </w:tcPr>
          <w:p w:rsidR="00061BBA" w:rsidRPr="005269D3" w:rsidRDefault="00485E04" w:rsidP="00537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50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101 00 000</w:t>
            </w:r>
          </w:p>
        </w:tc>
        <w:tc>
          <w:tcPr>
            <w:tcW w:w="3799" w:type="dxa"/>
          </w:tcPr>
          <w:p w:rsidR="00061BBA" w:rsidRPr="005269D3" w:rsidRDefault="0065057E" w:rsidP="006026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существенным фактам хозяйственной жизни в части операций с основными средствами отнесены </w:t>
            </w:r>
            <w:r w:rsidRPr="00602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операции</w:t>
            </w:r>
            <w:r w:rsidR="00155BBA" w:rsidRPr="00602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имуществом стоимостью более 50 000 руб</w:t>
            </w:r>
            <w:r w:rsidR="00602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25" w:type="dxa"/>
          </w:tcPr>
          <w:p w:rsidR="00061BBA" w:rsidRPr="005269D3" w:rsidRDefault="00B147ED" w:rsidP="00B147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Министерства финансов Российской Федерации от 31.12.2016 № 25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 </w:t>
            </w:r>
            <w:r w:rsidRPr="00B14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B147ED">
              <w:rPr>
                <w:rFonts w:ascii="Times New Roman" w:hAnsi="Times New Roman" w:cs="Times New Roman"/>
                <w:sz w:val="28"/>
                <w:szCs w:val="28"/>
              </w:rPr>
              <w:t>Об утверждении федерального стандарта бухгалтерского учета для организаций государственного сектора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50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«Концептуальные основы бухгалтерского учета и отчетности организаций государственного сектора»</w:t>
            </w:r>
          </w:p>
        </w:tc>
      </w:tr>
      <w:tr w:rsidR="00D12B2D" w:rsidTr="002501AF">
        <w:tc>
          <w:tcPr>
            <w:tcW w:w="2977" w:type="dxa"/>
          </w:tcPr>
          <w:p w:rsidR="00D12B2D" w:rsidRPr="005269D3" w:rsidRDefault="00485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Расчеты по доходам, расчеты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поставщиками и подрядчиками</w:t>
            </w:r>
          </w:p>
        </w:tc>
        <w:tc>
          <w:tcPr>
            <w:tcW w:w="4731" w:type="dxa"/>
          </w:tcPr>
          <w:p w:rsidR="00D12B2D" w:rsidRPr="005269D3" w:rsidRDefault="00485E04" w:rsidP="00537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1 206 00 000, 1 302 00 000</w:t>
            </w:r>
          </w:p>
        </w:tc>
        <w:tc>
          <w:tcPr>
            <w:tcW w:w="3799" w:type="dxa"/>
          </w:tcPr>
          <w:p w:rsidR="00D12B2D" w:rsidRPr="005269D3" w:rsidRDefault="00485E04" w:rsidP="00ED04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существенным фактам хозяйс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твенной жизни в части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операций по расчетам по доходам, расчетам с поставщиками и подрядчиками отнесены операции </w:t>
            </w:r>
            <w:r w:rsidR="00ED6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сумму </w:t>
            </w:r>
            <w:r w:rsidR="00C86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более </w:t>
            </w:r>
            <w:r w:rsidR="00602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ED6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602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="00ED6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3225" w:type="dxa"/>
          </w:tcPr>
          <w:p w:rsidR="00D12B2D" w:rsidRPr="005269D3" w:rsidRDefault="00D1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E04" w:rsidTr="002D363D">
        <w:tc>
          <w:tcPr>
            <w:tcW w:w="14732" w:type="dxa"/>
            <w:gridSpan w:val="4"/>
          </w:tcPr>
          <w:p w:rsidR="00485E04" w:rsidRPr="005269D3" w:rsidRDefault="00485E04" w:rsidP="0048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Особенности отражения отдельных объектов учета</w:t>
            </w:r>
          </w:p>
        </w:tc>
      </w:tr>
      <w:tr w:rsidR="00485E04" w:rsidTr="002501AF">
        <w:tc>
          <w:tcPr>
            <w:tcW w:w="2977" w:type="dxa"/>
          </w:tcPr>
          <w:p w:rsidR="00485E04" w:rsidRDefault="00485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Некассовые операции</w:t>
            </w:r>
          </w:p>
        </w:tc>
        <w:tc>
          <w:tcPr>
            <w:tcW w:w="4731" w:type="dxa"/>
          </w:tcPr>
          <w:p w:rsidR="00485E04" w:rsidRDefault="00485E04" w:rsidP="00537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1 205 00 000, 1 302 00 000</w:t>
            </w:r>
          </w:p>
          <w:p w:rsidR="00485E04" w:rsidRDefault="00485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9" w:type="dxa"/>
          </w:tcPr>
          <w:p w:rsidR="00485E04" w:rsidRPr="00485E04" w:rsidRDefault="00485E04" w:rsidP="006026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некассовым операциям отнесены:</w:t>
            </w:r>
            <w:r w:rsidR="00202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операции по удержанию пени, штрафных санкций из суммы, подлежащей уплате контрагенту за поставленные ТМЦ, выполненные работы, оказанные услуги, </w:t>
            </w:r>
            <w:r w:rsidR="00202E0A" w:rsidRPr="00602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операции по удержанию из заработной платы по решению руководителя подотчетных средств, вовремя не возвращенных работником</w:t>
            </w:r>
          </w:p>
        </w:tc>
        <w:tc>
          <w:tcPr>
            <w:tcW w:w="3225" w:type="dxa"/>
          </w:tcPr>
          <w:p w:rsidR="00485E04" w:rsidRPr="005269D3" w:rsidRDefault="00485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66C" w:rsidTr="002501AF">
        <w:tc>
          <w:tcPr>
            <w:tcW w:w="2977" w:type="dxa"/>
          </w:tcPr>
          <w:p w:rsidR="0060266C" w:rsidRDefault="006026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Некассовые операции</w:t>
            </w:r>
          </w:p>
        </w:tc>
        <w:tc>
          <w:tcPr>
            <w:tcW w:w="4731" w:type="dxa"/>
          </w:tcPr>
          <w:p w:rsidR="0060266C" w:rsidRDefault="0060266C" w:rsidP="00537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1 304 00 000</w:t>
            </w:r>
          </w:p>
        </w:tc>
        <w:tc>
          <w:tcPr>
            <w:tcW w:w="3799" w:type="dxa"/>
          </w:tcPr>
          <w:p w:rsidR="0060266C" w:rsidRDefault="0060266C" w:rsidP="00ED04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некассовым операциям отнесены операции по удержанию сумм из заработной платы по заявлению работников</w:t>
            </w:r>
          </w:p>
        </w:tc>
        <w:tc>
          <w:tcPr>
            <w:tcW w:w="3225" w:type="dxa"/>
          </w:tcPr>
          <w:p w:rsidR="0060266C" w:rsidRPr="005269D3" w:rsidRDefault="006026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F7740" w:rsidRDefault="008F774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F7740" w:rsidRPr="008F7740" w:rsidRDefault="008F7740" w:rsidP="008F7740">
      <w:pPr>
        <w:tabs>
          <w:tab w:val="left" w:pos="1755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8F7740" w:rsidRPr="008F7740" w:rsidSect="00ED6399">
      <w:pgSz w:w="16838" w:h="11906" w:orient="landscape"/>
      <w:pgMar w:top="1135" w:right="962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053"/>
    <w:rsid w:val="00061BBA"/>
    <w:rsid w:val="000920F1"/>
    <w:rsid w:val="00121547"/>
    <w:rsid w:val="00155BBA"/>
    <w:rsid w:val="001816A8"/>
    <w:rsid w:val="001A7DAE"/>
    <w:rsid w:val="001D1B6D"/>
    <w:rsid w:val="00202E0A"/>
    <w:rsid w:val="002501AF"/>
    <w:rsid w:val="00256B4C"/>
    <w:rsid w:val="00293923"/>
    <w:rsid w:val="002B0C41"/>
    <w:rsid w:val="002C3F92"/>
    <w:rsid w:val="00332D63"/>
    <w:rsid w:val="0034081E"/>
    <w:rsid w:val="00485E04"/>
    <w:rsid w:val="004902EE"/>
    <w:rsid w:val="004C2053"/>
    <w:rsid w:val="00513959"/>
    <w:rsid w:val="005269D3"/>
    <w:rsid w:val="00537930"/>
    <w:rsid w:val="0060266C"/>
    <w:rsid w:val="00640694"/>
    <w:rsid w:val="0065057E"/>
    <w:rsid w:val="008F7740"/>
    <w:rsid w:val="00A43E00"/>
    <w:rsid w:val="00A824DF"/>
    <w:rsid w:val="00B147ED"/>
    <w:rsid w:val="00B614B7"/>
    <w:rsid w:val="00B75F92"/>
    <w:rsid w:val="00BE7B85"/>
    <w:rsid w:val="00C7206C"/>
    <w:rsid w:val="00C86B63"/>
    <w:rsid w:val="00D12B2D"/>
    <w:rsid w:val="00D84074"/>
    <w:rsid w:val="00E05B79"/>
    <w:rsid w:val="00ED04CE"/>
    <w:rsid w:val="00ED6399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225D"/>
  <w15:docId w15:val="{A28B1464-FBF2-4014-9721-06056E79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9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43E0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43E00"/>
    <w:rPr>
      <w:rFonts w:ascii="Times New Roman" w:eastAsia="Times New Roman" w:hAnsi="Times New Roman" w:cs="Times New Roman"/>
      <w:i/>
      <w:iCs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57BB-9F6E-4358-9C62-ED9D1D18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 Владимировна</dc:creator>
  <cp:keywords/>
  <dc:description/>
  <cp:lastModifiedBy>Александрова Елена Владимировна</cp:lastModifiedBy>
  <cp:revision>24</cp:revision>
  <cp:lastPrinted>2019-01-09T13:41:00Z</cp:lastPrinted>
  <dcterms:created xsi:type="dcterms:W3CDTF">2018-12-26T09:42:00Z</dcterms:created>
  <dcterms:modified xsi:type="dcterms:W3CDTF">2019-01-09T13:59:00Z</dcterms:modified>
</cp:coreProperties>
</file>