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19D" w:rsidRDefault="00EF219D" w:rsidP="0087295B">
      <w:pPr>
        <w:pStyle w:val="ConsPlusNormal"/>
        <w:ind w:left="-360" w:firstLine="644"/>
        <w:jc w:val="both"/>
      </w:pPr>
    </w:p>
    <w:p w:rsidR="00B5198B" w:rsidRPr="00CC15DC" w:rsidRDefault="00B5198B" w:rsidP="00B5198B">
      <w:pPr>
        <w:jc w:val="center"/>
        <w:rPr>
          <w:color w:val="000000"/>
          <w:sz w:val="28"/>
          <w:szCs w:val="28"/>
        </w:rPr>
      </w:pPr>
      <w:r w:rsidRPr="00CC15DC">
        <w:rPr>
          <w:color w:val="000000"/>
          <w:sz w:val="28"/>
          <w:szCs w:val="28"/>
        </w:rPr>
        <w:t>Цены</w:t>
      </w:r>
    </w:p>
    <w:p w:rsidR="00B5198B" w:rsidRPr="00CC15DC" w:rsidRDefault="00B5198B" w:rsidP="00B5198B">
      <w:pPr>
        <w:jc w:val="center"/>
        <w:rPr>
          <w:color w:val="000000"/>
          <w:sz w:val="28"/>
          <w:szCs w:val="28"/>
        </w:rPr>
      </w:pPr>
      <w:r w:rsidRPr="00CC15DC">
        <w:rPr>
          <w:color w:val="000000"/>
          <w:sz w:val="28"/>
          <w:szCs w:val="28"/>
        </w:rPr>
        <w:t>на платные образовательные услуги,</w:t>
      </w:r>
    </w:p>
    <w:p w:rsidR="00B5198B" w:rsidRPr="00CC15DC" w:rsidRDefault="00B5198B" w:rsidP="00B5198B">
      <w:pPr>
        <w:jc w:val="center"/>
        <w:rPr>
          <w:color w:val="000000"/>
          <w:sz w:val="28"/>
          <w:szCs w:val="28"/>
        </w:rPr>
      </w:pPr>
      <w:r w:rsidRPr="00CC15DC">
        <w:rPr>
          <w:color w:val="000000"/>
          <w:sz w:val="28"/>
          <w:szCs w:val="28"/>
        </w:rPr>
        <w:t>оказываемые МБОУ Лицей г. Азова сверх установленного</w:t>
      </w:r>
    </w:p>
    <w:p w:rsidR="00B5198B" w:rsidRDefault="00B5198B" w:rsidP="00B5198B">
      <w:pPr>
        <w:jc w:val="center"/>
        <w:rPr>
          <w:color w:val="FF0000"/>
          <w:sz w:val="28"/>
          <w:szCs w:val="28"/>
        </w:rPr>
      </w:pPr>
      <w:r w:rsidRPr="00CC15DC">
        <w:rPr>
          <w:color w:val="000000"/>
          <w:sz w:val="28"/>
          <w:szCs w:val="28"/>
        </w:rPr>
        <w:t xml:space="preserve"> муниципального задания</w:t>
      </w:r>
      <w:r>
        <w:rPr>
          <w:color w:val="000000"/>
          <w:sz w:val="28"/>
          <w:szCs w:val="28"/>
        </w:rPr>
        <w:t xml:space="preserve">, утвержденные постановлением Администрации города Азова от </w:t>
      </w:r>
      <w:r w:rsidR="005A4579">
        <w:rPr>
          <w:color w:val="000000"/>
          <w:sz w:val="28"/>
          <w:szCs w:val="28"/>
        </w:rPr>
        <w:t>06</w:t>
      </w:r>
      <w:r w:rsidRPr="005A4579">
        <w:rPr>
          <w:sz w:val="28"/>
          <w:szCs w:val="28"/>
        </w:rPr>
        <w:t>.0</w:t>
      </w:r>
      <w:r w:rsidR="005A4579" w:rsidRPr="005A4579">
        <w:rPr>
          <w:sz w:val="28"/>
          <w:szCs w:val="28"/>
        </w:rPr>
        <w:t>6</w:t>
      </w:r>
      <w:r w:rsidRPr="005A4579">
        <w:rPr>
          <w:sz w:val="28"/>
          <w:szCs w:val="28"/>
        </w:rPr>
        <w:t>.</w:t>
      </w:r>
      <w:r>
        <w:rPr>
          <w:color w:val="000000"/>
          <w:sz w:val="28"/>
          <w:szCs w:val="28"/>
        </w:rPr>
        <w:t xml:space="preserve">2025 № </w:t>
      </w:r>
      <w:r w:rsidR="005A4579">
        <w:rPr>
          <w:color w:val="000000"/>
          <w:sz w:val="28"/>
          <w:szCs w:val="28"/>
        </w:rPr>
        <w:t>452</w:t>
      </w:r>
      <w:bookmarkStart w:id="0" w:name="_GoBack"/>
      <w:bookmarkEnd w:id="0"/>
    </w:p>
    <w:p w:rsidR="00B5198B" w:rsidRDefault="00B5198B" w:rsidP="00B5198B">
      <w:pPr>
        <w:jc w:val="center"/>
        <w:rPr>
          <w:color w:val="000000"/>
          <w:sz w:val="28"/>
          <w:szCs w:val="28"/>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6"/>
        <w:gridCol w:w="3402"/>
        <w:gridCol w:w="1189"/>
      </w:tblGrid>
      <w:tr w:rsidR="00B5198B" w:rsidRPr="00B5198B" w:rsidTr="006E69A9">
        <w:tc>
          <w:tcPr>
            <w:tcW w:w="704"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 п/п</w:t>
            </w:r>
          </w:p>
        </w:tc>
        <w:tc>
          <w:tcPr>
            <w:tcW w:w="4536"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Наименование услуги</w:t>
            </w:r>
          </w:p>
        </w:tc>
        <w:tc>
          <w:tcPr>
            <w:tcW w:w="3402"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Единица измерения</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Цена</w:t>
            </w:r>
          </w:p>
          <w:p w:rsidR="00B5198B" w:rsidRPr="00B5198B" w:rsidRDefault="00B5198B" w:rsidP="00B5198B">
            <w:pPr>
              <w:tabs>
                <w:tab w:val="left" w:pos="3264"/>
              </w:tabs>
              <w:jc w:val="center"/>
              <w:rPr>
                <w:sz w:val="28"/>
                <w:szCs w:val="28"/>
              </w:rPr>
            </w:pPr>
            <w:r w:rsidRPr="00B5198B">
              <w:rPr>
                <w:sz w:val="28"/>
                <w:szCs w:val="28"/>
              </w:rPr>
              <w:t xml:space="preserve"> руб.</w:t>
            </w:r>
          </w:p>
        </w:tc>
      </w:tr>
      <w:tr w:rsidR="00B5198B" w:rsidRPr="00B5198B" w:rsidTr="006E69A9">
        <w:trPr>
          <w:trHeight w:val="425"/>
        </w:trPr>
        <w:tc>
          <w:tcPr>
            <w:tcW w:w="704"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w:t>
            </w:r>
          </w:p>
        </w:tc>
        <w:tc>
          <w:tcPr>
            <w:tcW w:w="4536"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2</w:t>
            </w:r>
          </w:p>
        </w:tc>
        <w:tc>
          <w:tcPr>
            <w:tcW w:w="3402"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3</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4</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w:t>
            </w:r>
          </w:p>
        </w:tc>
        <w:tc>
          <w:tcPr>
            <w:tcW w:w="4536" w:type="dxa"/>
            <w:shd w:val="clear" w:color="auto" w:fill="auto"/>
            <w:vAlign w:val="center"/>
          </w:tcPr>
          <w:p w:rsidR="00B5198B" w:rsidRPr="00B5198B" w:rsidRDefault="00B5198B" w:rsidP="00B5198B">
            <w:pPr>
              <w:tabs>
                <w:tab w:val="left" w:pos="3264"/>
              </w:tabs>
              <w:rPr>
                <w:sz w:val="28"/>
                <w:szCs w:val="28"/>
              </w:rPr>
            </w:pPr>
            <w:r w:rsidRPr="00B5198B">
              <w:rPr>
                <w:sz w:val="28"/>
                <w:szCs w:val="28"/>
              </w:rPr>
              <w:t>Математика – язык цивилизаций</w:t>
            </w:r>
          </w:p>
        </w:tc>
        <w:tc>
          <w:tcPr>
            <w:tcW w:w="3402"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Ступеньки к грамотности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История Донского казачества</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4.</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Второй иностранный язык</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5.</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Растения вокруг нас</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809"/>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6.</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Школьные тревоги «Мы – пятиклассники»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7.</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Мой инструмент – компьютер</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8.</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Футбол</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97,00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9.</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Рисование</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96,00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10.</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Танцы</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96,00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11.</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Юный математик</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12.</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Основы права</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13.</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Научная организация труда школьника, осознанное мышление</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14.</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Связь физики с математикой</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736"/>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15.</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Решение задач повышенной сложности по математике</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16.</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Русское правописание</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17.</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Мир животных</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lastRenderedPageBreak/>
              <w:t>18.</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Экосознание</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19.</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Компьютерная графика и дизайн</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20.</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Легкая атлетика</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97,00</w:t>
            </w:r>
          </w:p>
        </w:tc>
      </w:tr>
      <w:tr w:rsidR="00B5198B" w:rsidRPr="00B5198B" w:rsidTr="006E69A9">
        <w:trPr>
          <w:trHeight w:val="79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21.</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Решение задач повышенной сложности по физике</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22.</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Изучение человека</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5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23.</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Я и они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24.</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Здоровый образ жизни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728"/>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25.</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Технология решения тестовых заданий по математике</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780"/>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26.</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Технология решения тестовых заданий по русскому языку</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27.</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Будем знакомы - экономика</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757"/>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28.</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Избирательное право России и Дона: история и современность</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29.</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Деловой английский язык</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719"/>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30.</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Основы эволюции и экологии, генетики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771"/>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31.</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Основы психологии личности и психологии общения</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rPr>
          <w:trHeight w:val="680"/>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32.</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Средства и технология обработки графической информации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33.</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Этика и эстетика</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96,00</w:t>
            </w:r>
          </w:p>
        </w:tc>
      </w:tr>
      <w:tr w:rsidR="00B5198B" w:rsidRPr="00B5198B" w:rsidTr="006E69A9">
        <w:trPr>
          <w:trHeight w:val="799"/>
        </w:trPr>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34.</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Технология решения тестовых заданий по обществознанию</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35.</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Решение задач повышенной сложности по химии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r w:rsidR="00B5198B" w:rsidRPr="00B5198B" w:rsidTr="006E69A9">
        <w:tc>
          <w:tcPr>
            <w:tcW w:w="704"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36.</w:t>
            </w:r>
          </w:p>
        </w:tc>
        <w:tc>
          <w:tcPr>
            <w:tcW w:w="4536" w:type="dxa"/>
            <w:shd w:val="clear" w:color="auto" w:fill="auto"/>
            <w:vAlign w:val="center"/>
          </w:tcPr>
          <w:p w:rsidR="00B5198B" w:rsidRPr="00B5198B" w:rsidRDefault="00B5198B" w:rsidP="00B5198B">
            <w:pPr>
              <w:tabs>
                <w:tab w:val="left" w:pos="3264"/>
              </w:tabs>
              <w:rPr>
                <w:color w:val="000000"/>
                <w:sz w:val="28"/>
                <w:szCs w:val="28"/>
              </w:rPr>
            </w:pPr>
            <w:r w:rsidRPr="00B5198B">
              <w:rPr>
                <w:color w:val="000000"/>
                <w:sz w:val="28"/>
                <w:szCs w:val="28"/>
              </w:rPr>
              <w:t>Творческое самосовершенствование и развитие личности</w:t>
            </w:r>
          </w:p>
        </w:tc>
        <w:tc>
          <w:tcPr>
            <w:tcW w:w="3402" w:type="dxa"/>
            <w:shd w:val="clear" w:color="auto" w:fill="auto"/>
            <w:vAlign w:val="center"/>
          </w:tcPr>
          <w:p w:rsidR="00B5198B" w:rsidRPr="00B5198B" w:rsidRDefault="00B5198B" w:rsidP="00B5198B">
            <w:pPr>
              <w:tabs>
                <w:tab w:val="left" w:pos="3264"/>
              </w:tabs>
              <w:jc w:val="center"/>
              <w:rPr>
                <w:color w:val="000000"/>
                <w:sz w:val="28"/>
                <w:szCs w:val="28"/>
              </w:rPr>
            </w:pPr>
            <w:r w:rsidRPr="00B5198B">
              <w:rPr>
                <w:color w:val="000000"/>
                <w:sz w:val="28"/>
                <w:szCs w:val="28"/>
              </w:rPr>
              <w:t>1 академический час на одного получателя услуг</w:t>
            </w:r>
          </w:p>
        </w:tc>
        <w:tc>
          <w:tcPr>
            <w:tcW w:w="1189" w:type="dxa"/>
            <w:shd w:val="clear" w:color="auto" w:fill="auto"/>
            <w:vAlign w:val="center"/>
          </w:tcPr>
          <w:p w:rsidR="00B5198B" w:rsidRPr="00B5198B" w:rsidRDefault="00B5198B" w:rsidP="00B5198B">
            <w:pPr>
              <w:tabs>
                <w:tab w:val="left" w:pos="3264"/>
              </w:tabs>
              <w:jc w:val="center"/>
              <w:rPr>
                <w:sz w:val="28"/>
                <w:szCs w:val="28"/>
              </w:rPr>
            </w:pPr>
            <w:r w:rsidRPr="00B5198B">
              <w:rPr>
                <w:sz w:val="28"/>
                <w:szCs w:val="28"/>
              </w:rPr>
              <w:t>100,00</w:t>
            </w:r>
          </w:p>
        </w:tc>
      </w:tr>
    </w:tbl>
    <w:p w:rsidR="00B5198B" w:rsidRPr="00B5198B" w:rsidRDefault="00B5198B" w:rsidP="00B5198B">
      <w:pPr>
        <w:rPr>
          <w:color w:val="000000"/>
        </w:rPr>
      </w:pPr>
    </w:p>
    <w:p w:rsidR="00AD06A5" w:rsidRDefault="00AD06A5" w:rsidP="00AD06A5">
      <w:pPr>
        <w:rPr>
          <w:sz w:val="10"/>
          <w:szCs w:val="10"/>
        </w:rPr>
      </w:pPr>
    </w:p>
    <w:p w:rsidR="00BA0F78" w:rsidRDefault="00BA0F78" w:rsidP="00BA0F78">
      <w:pPr>
        <w:rPr>
          <w:sz w:val="10"/>
          <w:szCs w:val="10"/>
        </w:rPr>
      </w:pPr>
    </w:p>
    <w:sectPr w:rsidR="00BA0F78" w:rsidSect="00B5198B">
      <w:footerReference w:type="even" r:id="rId7"/>
      <w:footerReference w:type="default" r:id="rId8"/>
      <w:pgSz w:w="11906" w:h="16838"/>
      <w:pgMar w:top="794" w:right="851"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14CB" w:rsidRDefault="00EE14CB">
      <w:r>
        <w:separator/>
      </w:r>
    </w:p>
  </w:endnote>
  <w:endnote w:type="continuationSeparator" w:id="0">
    <w:p w:rsidR="00EE14CB" w:rsidRDefault="00EE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DCC" w:rsidRDefault="00A26DCC" w:rsidP="003C17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26DCC" w:rsidRDefault="00A26DCC" w:rsidP="005D59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DCC" w:rsidRDefault="00A26DCC" w:rsidP="003C17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26DCC" w:rsidRDefault="00A26DCC" w:rsidP="005D59A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14CB" w:rsidRDefault="00EE14CB">
      <w:r>
        <w:separator/>
      </w:r>
    </w:p>
  </w:footnote>
  <w:footnote w:type="continuationSeparator" w:id="0">
    <w:p w:rsidR="00EE14CB" w:rsidRDefault="00EE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D75361"/>
    <w:multiLevelType w:val="hybridMultilevel"/>
    <w:tmpl w:val="2CF4016A"/>
    <w:lvl w:ilvl="0" w:tplc="04190011">
      <w:start w:val="1"/>
      <w:numFmt w:val="decimal"/>
      <w:lvlText w:val="%1)"/>
      <w:lvlJc w:val="left"/>
      <w:pPr>
        <w:tabs>
          <w:tab w:val="num" w:pos="720"/>
        </w:tabs>
        <w:ind w:left="720" w:hanging="360"/>
      </w:pPr>
      <w:rPr>
        <w:rFonts w:hint="default"/>
      </w:rPr>
    </w:lvl>
    <w:lvl w:ilvl="1" w:tplc="E7DEDEB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57629E"/>
    <w:multiLevelType w:val="hybridMultilevel"/>
    <w:tmpl w:val="9788D1CC"/>
    <w:lvl w:ilvl="0" w:tplc="6A722E4C">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88D330D"/>
    <w:multiLevelType w:val="hybridMultilevel"/>
    <w:tmpl w:val="AACE19BE"/>
    <w:lvl w:ilvl="0" w:tplc="04190011">
      <w:start w:val="1"/>
      <w:numFmt w:val="decimal"/>
      <w:lvlText w:val="%1)"/>
      <w:lvlJc w:val="left"/>
      <w:pPr>
        <w:tabs>
          <w:tab w:val="num" w:pos="720"/>
        </w:tabs>
        <w:ind w:left="720" w:hanging="360"/>
      </w:pPr>
      <w:rPr>
        <w:rFonts w:hint="default"/>
      </w:rPr>
    </w:lvl>
    <w:lvl w:ilvl="1" w:tplc="E378F8FE">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16584A"/>
    <w:multiLevelType w:val="hybridMultilevel"/>
    <w:tmpl w:val="22043902"/>
    <w:lvl w:ilvl="0" w:tplc="786C61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28A45365"/>
    <w:multiLevelType w:val="hybridMultilevel"/>
    <w:tmpl w:val="C8A4D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DD39E9"/>
    <w:multiLevelType w:val="hybridMultilevel"/>
    <w:tmpl w:val="E4C62D1A"/>
    <w:lvl w:ilvl="0" w:tplc="0419000F">
      <w:start w:val="1"/>
      <w:numFmt w:val="decimal"/>
      <w:lvlText w:val="%1."/>
      <w:lvlJc w:val="left"/>
      <w:pPr>
        <w:ind w:left="50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939348F"/>
    <w:multiLevelType w:val="multilevel"/>
    <w:tmpl w:val="2CF4016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2F61C9"/>
    <w:multiLevelType w:val="hybridMultilevel"/>
    <w:tmpl w:val="7500EB1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15:restartNumberingAfterBreak="0">
    <w:nsid w:val="6ADA0182"/>
    <w:multiLevelType w:val="hybridMultilevel"/>
    <w:tmpl w:val="66A07F5E"/>
    <w:lvl w:ilvl="0" w:tplc="A3B4A05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63F11E5"/>
    <w:multiLevelType w:val="hybridMultilevel"/>
    <w:tmpl w:val="4C2C96B2"/>
    <w:lvl w:ilvl="0" w:tplc="B966067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4185C"/>
    <w:multiLevelType w:val="hybridMultilevel"/>
    <w:tmpl w:val="379847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2"/>
  </w:num>
  <w:num w:numId="4">
    <w:abstractNumId w:val="6"/>
  </w:num>
  <w:num w:numId="5">
    <w:abstractNumId w:val="4"/>
  </w:num>
  <w:num w:numId="6">
    <w:abstractNumId w:val="8"/>
  </w:num>
  <w:num w:numId="7">
    <w:abstractNumId w:val="0"/>
  </w:num>
  <w:num w:numId="8">
    <w:abstractNumId w:val="7"/>
  </w:num>
  <w:num w:numId="9">
    <w:abstractNumId w:val="9"/>
  </w:num>
  <w:num w:numId="10">
    <w:abstractNumId w:val="3"/>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CD0"/>
    <w:rsid w:val="00012118"/>
    <w:rsid w:val="00085F81"/>
    <w:rsid w:val="000A1694"/>
    <w:rsid w:val="000B0279"/>
    <w:rsid w:val="000B337C"/>
    <w:rsid w:val="000B47AF"/>
    <w:rsid w:val="000D1C9B"/>
    <w:rsid w:val="00120CBE"/>
    <w:rsid w:val="001444B2"/>
    <w:rsid w:val="00175320"/>
    <w:rsid w:val="0018011E"/>
    <w:rsid w:val="001D121F"/>
    <w:rsid w:val="001E2557"/>
    <w:rsid w:val="001E6D30"/>
    <w:rsid w:val="001F2565"/>
    <w:rsid w:val="00216563"/>
    <w:rsid w:val="00233DD9"/>
    <w:rsid w:val="00233EFC"/>
    <w:rsid w:val="0024264F"/>
    <w:rsid w:val="00243749"/>
    <w:rsid w:val="00246FDC"/>
    <w:rsid w:val="00296759"/>
    <w:rsid w:val="002A7EBF"/>
    <w:rsid w:val="002F2F5A"/>
    <w:rsid w:val="002F3E51"/>
    <w:rsid w:val="00316527"/>
    <w:rsid w:val="00323C69"/>
    <w:rsid w:val="00392D77"/>
    <w:rsid w:val="00395D8B"/>
    <w:rsid w:val="003A6525"/>
    <w:rsid w:val="003B5A16"/>
    <w:rsid w:val="003C17DB"/>
    <w:rsid w:val="003D4F27"/>
    <w:rsid w:val="003E575E"/>
    <w:rsid w:val="003F0614"/>
    <w:rsid w:val="0042799C"/>
    <w:rsid w:val="004468EE"/>
    <w:rsid w:val="004774D6"/>
    <w:rsid w:val="004C6AD8"/>
    <w:rsid w:val="005115EC"/>
    <w:rsid w:val="005277CB"/>
    <w:rsid w:val="005367B5"/>
    <w:rsid w:val="005407D0"/>
    <w:rsid w:val="005577BF"/>
    <w:rsid w:val="00557C68"/>
    <w:rsid w:val="005740C7"/>
    <w:rsid w:val="0059393A"/>
    <w:rsid w:val="005A4579"/>
    <w:rsid w:val="005D0714"/>
    <w:rsid w:val="005D59A2"/>
    <w:rsid w:val="00671E2A"/>
    <w:rsid w:val="00681AE5"/>
    <w:rsid w:val="006C6A5F"/>
    <w:rsid w:val="006C6B14"/>
    <w:rsid w:val="006C7831"/>
    <w:rsid w:val="006F62D1"/>
    <w:rsid w:val="00727348"/>
    <w:rsid w:val="00753FD5"/>
    <w:rsid w:val="007658BB"/>
    <w:rsid w:val="00766F90"/>
    <w:rsid w:val="0078140F"/>
    <w:rsid w:val="00792E86"/>
    <w:rsid w:val="0079436E"/>
    <w:rsid w:val="007B09E6"/>
    <w:rsid w:val="007D6E4E"/>
    <w:rsid w:val="00803DBC"/>
    <w:rsid w:val="008077E9"/>
    <w:rsid w:val="008144DF"/>
    <w:rsid w:val="0081758F"/>
    <w:rsid w:val="00861916"/>
    <w:rsid w:val="0087295B"/>
    <w:rsid w:val="00882412"/>
    <w:rsid w:val="008B2609"/>
    <w:rsid w:val="008C4717"/>
    <w:rsid w:val="008D4914"/>
    <w:rsid w:val="008D52E3"/>
    <w:rsid w:val="008E182D"/>
    <w:rsid w:val="009002B2"/>
    <w:rsid w:val="00911101"/>
    <w:rsid w:val="00943C6E"/>
    <w:rsid w:val="0098594D"/>
    <w:rsid w:val="00992B23"/>
    <w:rsid w:val="009C1CB9"/>
    <w:rsid w:val="009E488F"/>
    <w:rsid w:val="00A01E75"/>
    <w:rsid w:val="00A02292"/>
    <w:rsid w:val="00A26DCC"/>
    <w:rsid w:val="00A347BA"/>
    <w:rsid w:val="00A4406D"/>
    <w:rsid w:val="00A44163"/>
    <w:rsid w:val="00A7459C"/>
    <w:rsid w:val="00AD06A5"/>
    <w:rsid w:val="00AE5940"/>
    <w:rsid w:val="00AF3FF4"/>
    <w:rsid w:val="00B42692"/>
    <w:rsid w:val="00B50495"/>
    <w:rsid w:val="00B5198B"/>
    <w:rsid w:val="00B641B6"/>
    <w:rsid w:val="00B95728"/>
    <w:rsid w:val="00BA0F78"/>
    <w:rsid w:val="00BA16E1"/>
    <w:rsid w:val="00C52F46"/>
    <w:rsid w:val="00C60706"/>
    <w:rsid w:val="00C705A9"/>
    <w:rsid w:val="00CA7926"/>
    <w:rsid w:val="00CB7D4F"/>
    <w:rsid w:val="00CC4BC6"/>
    <w:rsid w:val="00CE7257"/>
    <w:rsid w:val="00CE73CB"/>
    <w:rsid w:val="00D3026B"/>
    <w:rsid w:val="00D350BE"/>
    <w:rsid w:val="00D371D1"/>
    <w:rsid w:val="00D7697D"/>
    <w:rsid w:val="00D80CAA"/>
    <w:rsid w:val="00D91CD0"/>
    <w:rsid w:val="00DB1F34"/>
    <w:rsid w:val="00E402B4"/>
    <w:rsid w:val="00E50D10"/>
    <w:rsid w:val="00E60D3B"/>
    <w:rsid w:val="00E7170F"/>
    <w:rsid w:val="00EB2E2A"/>
    <w:rsid w:val="00EC1596"/>
    <w:rsid w:val="00EC65BA"/>
    <w:rsid w:val="00EC75DE"/>
    <w:rsid w:val="00EE14CB"/>
    <w:rsid w:val="00EF219D"/>
    <w:rsid w:val="00F341FF"/>
    <w:rsid w:val="00F37B90"/>
    <w:rsid w:val="00F8662D"/>
    <w:rsid w:val="00F87211"/>
    <w:rsid w:val="00F9342B"/>
    <w:rsid w:val="00FC7EAA"/>
    <w:rsid w:val="00FD7C78"/>
    <w:rsid w:val="00FE3000"/>
    <w:rsid w:val="00FE4FF8"/>
    <w:rsid w:val="00FF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C3CA0"/>
  <w15:docId w15:val="{8177F420-EDC1-4E88-89C6-E2C0B07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6A5"/>
    <w:rPr>
      <w:sz w:val="24"/>
      <w:szCs w:val="24"/>
    </w:rPr>
  </w:style>
  <w:style w:type="paragraph" w:styleId="1">
    <w:name w:val="heading 1"/>
    <w:basedOn w:val="a"/>
    <w:next w:val="a"/>
    <w:qFormat/>
    <w:rsid w:val="00D91CD0"/>
    <w:pPr>
      <w:keepNext/>
      <w:spacing w:before="240" w:after="60"/>
      <w:outlineLvl w:val="0"/>
    </w:pPr>
    <w:rPr>
      <w:rFonts w:ascii="Arial" w:hAnsi="Arial" w:cs="Arial"/>
      <w:b/>
      <w:bCs/>
      <w:kern w:val="32"/>
      <w:sz w:val="32"/>
      <w:szCs w:val="32"/>
    </w:rPr>
  </w:style>
  <w:style w:type="paragraph" w:styleId="2">
    <w:name w:val="heading 2"/>
    <w:basedOn w:val="a"/>
    <w:next w:val="a"/>
    <w:qFormat/>
    <w:rsid w:val="00D91CD0"/>
    <w:pPr>
      <w:keepNext/>
      <w:spacing w:before="240" w:after="60"/>
      <w:outlineLvl w:val="1"/>
    </w:pPr>
    <w:rPr>
      <w:rFonts w:ascii="Arial" w:hAnsi="Arial" w:cs="Arial"/>
      <w:b/>
      <w:bCs/>
      <w:i/>
      <w:iCs/>
      <w:sz w:val="28"/>
      <w:szCs w:val="28"/>
    </w:rPr>
  </w:style>
  <w:style w:type="paragraph" w:styleId="3">
    <w:name w:val="heading 3"/>
    <w:basedOn w:val="a"/>
    <w:next w:val="a"/>
    <w:qFormat/>
    <w:rsid w:val="009E488F"/>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1CD0"/>
    <w:pPr>
      <w:jc w:val="both"/>
    </w:pPr>
  </w:style>
  <w:style w:type="paragraph" w:styleId="a4">
    <w:name w:val="Body Text Indent"/>
    <w:basedOn w:val="a"/>
    <w:rsid w:val="00D91CD0"/>
    <w:pPr>
      <w:ind w:firstLine="900"/>
      <w:jc w:val="both"/>
    </w:pPr>
  </w:style>
  <w:style w:type="paragraph" w:styleId="a5">
    <w:name w:val="footer"/>
    <w:basedOn w:val="a"/>
    <w:rsid w:val="005D59A2"/>
    <w:pPr>
      <w:tabs>
        <w:tab w:val="center" w:pos="4677"/>
        <w:tab w:val="right" w:pos="9355"/>
      </w:tabs>
    </w:pPr>
  </w:style>
  <w:style w:type="character" w:styleId="a6">
    <w:name w:val="page number"/>
    <w:basedOn w:val="a0"/>
    <w:rsid w:val="005D59A2"/>
  </w:style>
  <w:style w:type="paragraph" w:customStyle="1" w:styleId="a7">
    <w:name w:val="Знак"/>
    <w:basedOn w:val="a"/>
    <w:rsid w:val="00C60706"/>
    <w:pPr>
      <w:spacing w:before="100" w:beforeAutospacing="1" w:after="100" w:afterAutospacing="1"/>
    </w:pPr>
    <w:rPr>
      <w:rFonts w:ascii="Tahoma" w:hAnsi="Tahoma"/>
      <w:sz w:val="20"/>
      <w:szCs w:val="20"/>
      <w:lang w:val="en-US" w:eastAsia="en-US"/>
    </w:rPr>
  </w:style>
  <w:style w:type="paragraph" w:styleId="20">
    <w:name w:val="Body Text 2"/>
    <w:basedOn w:val="a"/>
    <w:rsid w:val="0081758F"/>
    <w:pPr>
      <w:spacing w:after="120" w:line="480" w:lineRule="auto"/>
    </w:pPr>
  </w:style>
  <w:style w:type="paragraph" w:customStyle="1" w:styleId="Default">
    <w:name w:val="Default"/>
    <w:rsid w:val="007658BB"/>
    <w:pPr>
      <w:autoSpaceDE w:val="0"/>
      <w:autoSpaceDN w:val="0"/>
      <w:adjustRightInd w:val="0"/>
    </w:pPr>
    <w:rPr>
      <w:color w:val="000000"/>
      <w:sz w:val="24"/>
      <w:szCs w:val="24"/>
    </w:rPr>
  </w:style>
  <w:style w:type="paragraph" w:customStyle="1" w:styleId="10">
    <w:name w:val="Абзац списка1"/>
    <w:basedOn w:val="a"/>
    <w:rsid w:val="00FD7C78"/>
    <w:pPr>
      <w:widowControl w:val="0"/>
      <w:suppressAutoHyphens/>
    </w:pPr>
    <w:rPr>
      <w:rFonts w:ascii="Arial" w:eastAsia="Lucida Sans Unicode" w:hAnsi="Arial" w:cs="Mangal"/>
      <w:kern w:val="1"/>
      <w:sz w:val="20"/>
      <w:lang w:eastAsia="hi-IN" w:bidi="hi-IN"/>
    </w:rPr>
  </w:style>
  <w:style w:type="paragraph" w:styleId="30">
    <w:name w:val="Body Text 3"/>
    <w:basedOn w:val="a"/>
    <w:rsid w:val="009E488F"/>
    <w:rPr>
      <w:b/>
      <w:bCs/>
      <w:sz w:val="28"/>
    </w:rPr>
  </w:style>
  <w:style w:type="paragraph" w:customStyle="1" w:styleId="ConsPlusNonformat">
    <w:name w:val="ConsPlusNonformat"/>
    <w:rsid w:val="009E488F"/>
    <w:pPr>
      <w:widowControl w:val="0"/>
      <w:autoSpaceDE w:val="0"/>
      <w:autoSpaceDN w:val="0"/>
      <w:adjustRightInd w:val="0"/>
    </w:pPr>
    <w:rPr>
      <w:rFonts w:ascii="Courier New" w:hAnsi="Courier New" w:cs="Courier New"/>
    </w:rPr>
  </w:style>
  <w:style w:type="table" w:styleId="a8">
    <w:name w:val="Table Grid"/>
    <w:basedOn w:val="a1"/>
    <w:rsid w:val="009E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E488F"/>
    <w:pPr>
      <w:tabs>
        <w:tab w:val="center" w:pos="4677"/>
        <w:tab w:val="right" w:pos="9355"/>
      </w:tabs>
    </w:pPr>
  </w:style>
  <w:style w:type="paragraph" w:customStyle="1" w:styleId="ConsPlusNormal">
    <w:name w:val="ConsPlusNormal"/>
    <w:rsid w:val="009E488F"/>
    <w:pPr>
      <w:autoSpaceDE w:val="0"/>
      <w:autoSpaceDN w:val="0"/>
      <w:adjustRightInd w:val="0"/>
    </w:pPr>
    <w:rPr>
      <w:sz w:val="28"/>
      <w:szCs w:val="28"/>
    </w:rPr>
  </w:style>
  <w:style w:type="paragraph" w:customStyle="1" w:styleId="11">
    <w:name w:val="Знак1"/>
    <w:basedOn w:val="a"/>
    <w:rsid w:val="009E488F"/>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488F"/>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9E488F"/>
  </w:style>
  <w:style w:type="paragraph" w:customStyle="1" w:styleId="aa">
    <w:name w:val="Содержимое таблицы"/>
    <w:basedOn w:val="a"/>
    <w:rsid w:val="009E488F"/>
    <w:pPr>
      <w:widowControl w:val="0"/>
      <w:suppressLineNumbers/>
      <w:suppressAutoHyphens/>
    </w:pPr>
    <w:rPr>
      <w:rFonts w:ascii="Arial" w:eastAsia="Lucida Sans Unicode" w:hAnsi="Arial" w:cs="Mangal"/>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ГОРОДА АЗОВА</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АЗОВА</dc:title>
  <dc:subject/>
  <dc:creator>lesnikova</dc:creator>
  <cp:keywords/>
  <cp:lastModifiedBy>Плеханова Елена Григорьевна</cp:lastModifiedBy>
  <cp:revision>8</cp:revision>
  <cp:lastPrinted>2018-01-26T08:41:00Z</cp:lastPrinted>
  <dcterms:created xsi:type="dcterms:W3CDTF">2024-03-25T09:13:00Z</dcterms:created>
  <dcterms:modified xsi:type="dcterms:W3CDTF">2025-06-06T09:52:00Z</dcterms:modified>
</cp:coreProperties>
</file>